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6EE" w:rsidRDefault="00FC56EE" w:rsidP="00700BB9">
      <w:pPr>
        <w:tabs>
          <w:tab w:val="left" w:pos="6324"/>
        </w:tabs>
        <w:jc w:val="right"/>
        <w:rPr>
          <w:rFonts w:cs="Arial"/>
          <w:b/>
          <w:i/>
          <w:color w:val="FF0000"/>
          <w:sz w:val="18"/>
          <w:szCs w:val="18"/>
        </w:rPr>
      </w:pPr>
      <w:r>
        <w:rPr>
          <w:rFonts w:ascii="Calibri" w:hAnsi="Calibri"/>
          <w:i/>
          <w:color w:val="7F7F7F"/>
          <w:sz w:val="18"/>
          <w:szCs w:val="18"/>
        </w:rPr>
        <w:t xml:space="preserve">Załącznik nr </w:t>
      </w:r>
      <w:r w:rsidR="00C95736">
        <w:rPr>
          <w:rFonts w:ascii="Calibri" w:hAnsi="Calibri"/>
          <w:i/>
          <w:color w:val="7F7F7F"/>
          <w:sz w:val="18"/>
          <w:szCs w:val="18"/>
        </w:rPr>
        <w:t>8</w:t>
      </w:r>
      <w:r>
        <w:rPr>
          <w:rFonts w:ascii="Calibri" w:hAnsi="Calibri"/>
          <w:i/>
          <w:color w:val="7F7F7F"/>
          <w:sz w:val="18"/>
          <w:szCs w:val="18"/>
        </w:rPr>
        <w:t xml:space="preserve">  </w:t>
      </w:r>
      <w:r w:rsidRPr="006A65EA">
        <w:rPr>
          <w:rFonts w:ascii="Calibri" w:hAnsi="Calibri"/>
          <w:i/>
          <w:color w:val="7F7F7F"/>
          <w:sz w:val="18"/>
          <w:szCs w:val="18"/>
        </w:rPr>
        <w:t>do metryki biznesowej kred</w:t>
      </w:r>
      <w:r>
        <w:rPr>
          <w:rFonts w:ascii="Calibri" w:hAnsi="Calibri"/>
          <w:i/>
          <w:color w:val="7F7F7F"/>
          <w:sz w:val="18"/>
          <w:szCs w:val="18"/>
        </w:rPr>
        <w:t xml:space="preserve">ytu mieszkaniowego </w:t>
      </w:r>
      <w:r w:rsidR="008B216B">
        <w:rPr>
          <w:rFonts w:ascii="Calibri" w:hAnsi="Calibri"/>
          <w:i/>
          <w:color w:val="7F7F7F"/>
          <w:sz w:val="18"/>
          <w:szCs w:val="18"/>
        </w:rPr>
        <w:t>Nasz</w:t>
      </w:r>
      <w:r>
        <w:rPr>
          <w:rFonts w:ascii="Calibri" w:hAnsi="Calibri"/>
          <w:i/>
          <w:color w:val="7F7F7F"/>
          <w:sz w:val="18"/>
          <w:szCs w:val="18"/>
        </w:rPr>
        <w:t xml:space="preserve"> Dom</w:t>
      </w:r>
    </w:p>
    <w:p w:rsidR="004818F1" w:rsidRPr="000D60F2" w:rsidRDefault="004818F1" w:rsidP="004818F1">
      <w:pPr>
        <w:pStyle w:val="Default"/>
        <w:jc w:val="both"/>
        <w:rPr>
          <w:rFonts w:asciiTheme="minorHAnsi" w:hAnsiTheme="minorHAnsi"/>
        </w:rPr>
      </w:pPr>
    </w:p>
    <w:p w:rsidR="000D60F2" w:rsidRPr="000D60F2" w:rsidRDefault="000D60F2" w:rsidP="004818F1">
      <w:pPr>
        <w:pStyle w:val="Default"/>
        <w:jc w:val="both"/>
        <w:rPr>
          <w:rFonts w:asciiTheme="minorHAnsi" w:hAnsiTheme="minorHAnsi"/>
        </w:rPr>
      </w:pPr>
    </w:p>
    <w:p w:rsidR="004818F1" w:rsidRPr="000D60F2" w:rsidRDefault="00807C0C" w:rsidP="004818F1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Minimalny zakres</w:t>
      </w:r>
      <w:r w:rsidR="004818F1" w:rsidRPr="000D60F2">
        <w:rPr>
          <w:rFonts w:asciiTheme="minorHAnsi" w:hAnsiTheme="minorHAnsi"/>
          <w:b/>
          <w:bCs/>
        </w:rPr>
        <w:t xml:space="preserve"> ochrony ubezpieczeniowej </w:t>
      </w:r>
    </w:p>
    <w:p w:rsidR="004818F1" w:rsidRPr="000D60F2" w:rsidRDefault="004818F1" w:rsidP="004818F1">
      <w:pPr>
        <w:pStyle w:val="Default"/>
        <w:jc w:val="both"/>
        <w:rPr>
          <w:rFonts w:asciiTheme="minorHAnsi" w:hAnsiTheme="minorHAnsi"/>
        </w:rPr>
      </w:pPr>
    </w:p>
    <w:p w:rsidR="004818F1" w:rsidRPr="000D60F2" w:rsidRDefault="004818F1" w:rsidP="004818F1">
      <w:pPr>
        <w:pStyle w:val="Default"/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 xml:space="preserve">Bank akceptuje zawarte przez klienta ubezpieczenie jako zabezpieczenie ekspozycji kredytowej, jeśli spełnia ono uznawane w Banku minimalne warunki ochrony ubezpieczeniowej, tj. </w:t>
      </w:r>
    </w:p>
    <w:p w:rsidR="004818F1" w:rsidRPr="000D60F2" w:rsidRDefault="004818F1" w:rsidP="004818F1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 xml:space="preserve">zakład ubezpieczeń (wystawca polisy) znajduje się na Liście Zakładów Ubezpieczeń akceptowanych przez Bank oraz </w:t>
      </w:r>
    </w:p>
    <w:p w:rsidR="004818F1" w:rsidRPr="000D60F2" w:rsidRDefault="004818F1" w:rsidP="004818F1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 xml:space="preserve">umowa ubezpieczenia spełnia minimalne kryteria ochrony ubezpieczeniowej </w:t>
      </w:r>
    </w:p>
    <w:p w:rsidR="004818F1" w:rsidRPr="000D60F2" w:rsidRDefault="004818F1" w:rsidP="004818F1">
      <w:pPr>
        <w:pStyle w:val="Default"/>
        <w:jc w:val="both"/>
        <w:rPr>
          <w:rFonts w:asciiTheme="minorHAnsi" w:hAnsiTheme="minorHAnsi"/>
        </w:rPr>
      </w:pPr>
    </w:p>
    <w:p w:rsidR="004818F1" w:rsidRPr="000D60F2" w:rsidRDefault="004818F1" w:rsidP="000D60F2">
      <w:pPr>
        <w:pStyle w:val="Default"/>
        <w:jc w:val="center"/>
        <w:rPr>
          <w:rFonts w:asciiTheme="minorHAnsi" w:hAnsiTheme="minorHAnsi"/>
          <w:b/>
          <w:bCs/>
        </w:rPr>
      </w:pPr>
      <w:r w:rsidRPr="000D60F2">
        <w:rPr>
          <w:rFonts w:asciiTheme="minorHAnsi" w:hAnsiTheme="minorHAnsi"/>
          <w:b/>
          <w:bCs/>
        </w:rPr>
        <w:t>Minimalne kryteria ochrony ubezpieczeniowej</w:t>
      </w:r>
    </w:p>
    <w:p w:rsidR="004818F1" w:rsidRPr="000D60F2" w:rsidRDefault="004818F1" w:rsidP="004818F1">
      <w:pPr>
        <w:pStyle w:val="Default"/>
        <w:jc w:val="both"/>
        <w:rPr>
          <w:rFonts w:asciiTheme="minorHAnsi" w:hAnsiTheme="minorHAnsi"/>
        </w:rPr>
      </w:pPr>
    </w:p>
    <w:p w:rsidR="004818F1" w:rsidRDefault="004818F1" w:rsidP="004818F1">
      <w:pPr>
        <w:pStyle w:val="Default"/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  <w:b/>
          <w:bCs/>
        </w:rPr>
        <w:t>W przypadku ubezpieczeń majątkowych</w:t>
      </w:r>
      <w:r w:rsidRPr="000D60F2">
        <w:rPr>
          <w:rFonts w:asciiTheme="minorHAnsi" w:hAnsiTheme="minorHAnsi"/>
        </w:rPr>
        <w:t xml:space="preserve">: </w:t>
      </w:r>
    </w:p>
    <w:p w:rsidR="000D60F2" w:rsidRPr="000D60F2" w:rsidRDefault="000D60F2" w:rsidP="004818F1">
      <w:pPr>
        <w:pStyle w:val="Default"/>
        <w:jc w:val="both"/>
        <w:rPr>
          <w:rFonts w:asciiTheme="minorHAnsi" w:hAnsiTheme="minorHAnsi"/>
        </w:rPr>
      </w:pPr>
    </w:p>
    <w:p w:rsidR="004818F1" w:rsidRPr="000D60F2" w:rsidRDefault="004818F1" w:rsidP="004818F1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 xml:space="preserve">maksymalna odpowiedzialność zakładu ubezpieczeń nie powinna być mniejsza niż wartość rynkowa ubezpieczanego mienia, będącego przedmiotem zabezpieczenia kredytu; </w:t>
      </w:r>
    </w:p>
    <w:p w:rsidR="004818F1" w:rsidRPr="000D60F2" w:rsidRDefault="004818F1" w:rsidP="004818F1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 xml:space="preserve">ochrona ubezpieczeniowa powinna obejmować istotne ryzyka, jakie mogą wystąpić </w:t>
      </w:r>
      <w:r w:rsidRPr="000D60F2">
        <w:rPr>
          <w:rFonts w:asciiTheme="minorHAnsi" w:hAnsiTheme="minorHAnsi"/>
        </w:rPr>
        <w:br/>
        <w:t xml:space="preserve">w czasie użytkowania rzeczy ruchomej lub nieruchomości (np. ubezpieczenie mienia od ognia i innych zdarzeń losowych, kradzieży z włamaniem i rabunku), chorób i upadków (dotyczy zwierząt), dewastacji, katastrofy budowlanej, ubezpieczenia casco (dotyczy: pojazdów, maszyn i urządzeń w ruchu z własnym napędem i bez własnego napędu, pojazdów szynowych, statków powietrznych, statków żeglugi morskiej i śródlądowej). Ocena istotności ryzyka zależy od rodzaju ubezpieczanego mienia oraz miejsca jego przechowywania; </w:t>
      </w:r>
    </w:p>
    <w:p w:rsidR="004818F1" w:rsidRPr="000D60F2" w:rsidRDefault="004818F1" w:rsidP="004818F1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 xml:space="preserve">umowa ubezpieczenia/ polisa nie może zawierać klauzul umownych, które uniemożliwią wypłatę znacznej części odszkodowań/ świadczeń na poczet zabezpieczenia ryzyka Banku; </w:t>
      </w:r>
    </w:p>
    <w:p w:rsidR="004818F1" w:rsidRPr="000D60F2" w:rsidRDefault="004818F1" w:rsidP="004818F1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>zapisy umowy ubezpieczenia powinny dopuszczać przeniesie wierzytelności z umowy ubezpieczenia na zabezpieczenie ekspozycji kredytowej</w:t>
      </w:r>
    </w:p>
    <w:p w:rsidR="004818F1" w:rsidRPr="000D60F2" w:rsidRDefault="004818F1" w:rsidP="004818F1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000000"/>
          <w:sz w:val="24"/>
        </w:rPr>
      </w:pPr>
    </w:p>
    <w:p w:rsidR="000D60F2" w:rsidRDefault="000D60F2" w:rsidP="004818F1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b/>
          <w:color w:val="000000"/>
          <w:sz w:val="24"/>
        </w:rPr>
      </w:pPr>
    </w:p>
    <w:p w:rsidR="000D60F2" w:rsidRDefault="000D60F2" w:rsidP="004818F1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b/>
          <w:color w:val="000000"/>
          <w:sz w:val="24"/>
        </w:rPr>
      </w:pPr>
    </w:p>
    <w:p w:rsidR="000D60F2" w:rsidRDefault="000D60F2" w:rsidP="004818F1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b/>
          <w:color w:val="000000"/>
          <w:sz w:val="24"/>
        </w:rPr>
      </w:pPr>
    </w:p>
    <w:p w:rsidR="000D60F2" w:rsidRDefault="000D60F2" w:rsidP="004818F1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b/>
          <w:color w:val="000000"/>
          <w:sz w:val="24"/>
        </w:rPr>
      </w:pPr>
    </w:p>
    <w:p w:rsidR="000D60F2" w:rsidRDefault="000D60F2" w:rsidP="004818F1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b/>
          <w:color w:val="000000"/>
          <w:sz w:val="24"/>
        </w:rPr>
      </w:pPr>
    </w:p>
    <w:p w:rsidR="000D60F2" w:rsidRDefault="000D60F2" w:rsidP="004818F1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b/>
          <w:color w:val="000000"/>
          <w:sz w:val="24"/>
        </w:rPr>
      </w:pPr>
    </w:p>
    <w:p w:rsidR="000D60F2" w:rsidRDefault="000D60F2" w:rsidP="004818F1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b/>
          <w:color w:val="000000"/>
          <w:sz w:val="24"/>
        </w:rPr>
      </w:pPr>
    </w:p>
    <w:p w:rsidR="00A502A0" w:rsidRPr="000D60F2" w:rsidRDefault="00807C0C" w:rsidP="00A502A0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Minimalny zakres</w:t>
      </w:r>
      <w:r w:rsidR="00A502A0" w:rsidRPr="000D60F2">
        <w:rPr>
          <w:rFonts w:asciiTheme="minorHAnsi" w:hAnsiTheme="minorHAnsi"/>
          <w:b/>
          <w:bCs/>
        </w:rPr>
        <w:t xml:space="preserve"> ochrony ubezpieczeniowej </w:t>
      </w:r>
    </w:p>
    <w:p w:rsidR="00A502A0" w:rsidRDefault="00A502A0" w:rsidP="004818F1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b/>
          <w:color w:val="000000"/>
          <w:sz w:val="24"/>
        </w:rPr>
      </w:pPr>
    </w:p>
    <w:p w:rsidR="00A502A0" w:rsidRPr="000D60F2" w:rsidRDefault="00A502A0" w:rsidP="00A502A0">
      <w:pPr>
        <w:pStyle w:val="Default"/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 xml:space="preserve">Bank akceptuje zawarte przez klienta ubezpieczenie jako zabezpieczenie ekspozycji kredytowej, jeśli spełnia ono uznawane w Banku minimalne warunki ochrony ubezpieczeniowej, tj. </w:t>
      </w:r>
    </w:p>
    <w:p w:rsidR="00A502A0" w:rsidRPr="000D60F2" w:rsidRDefault="00A502A0" w:rsidP="00A502A0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 xml:space="preserve">zakład ubezpieczeń (wystawca polisy) znajduje się na Liście Zakładów Ubezpieczeń akceptowanych przez Bank oraz </w:t>
      </w:r>
    </w:p>
    <w:p w:rsidR="00A502A0" w:rsidRPr="000D60F2" w:rsidRDefault="00A502A0" w:rsidP="00A502A0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 xml:space="preserve">umowa ubezpieczenia spełnia minimalne kryteria ochrony ubezpieczeniowej </w:t>
      </w:r>
    </w:p>
    <w:p w:rsidR="00A502A0" w:rsidRDefault="00A502A0" w:rsidP="004818F1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b/>
          <w:color w:val="000000"/>
          <w:sz w:val="24"/>
        </w:rPr>
      </w:pPr>
    </w:p>
    <w:p w:rsidR="0083203A" w:rsidRPr="000D60F2" w:rsidRDefault="0083203A" w:rsidP="0083203A">
      <w:pPr>
        <w:pStyle w:val="Default"/>
        <w:jc w:val="center"/>
        <w:rPr>
          <w:rFonts w:asciiTheme="minorHAnsi" w:hAnsiTheme="minorHAnsi"/>
          <w:b/>
          <w:bCs/>
        </w:rPr>
      </w:pPr>
      <w:r w:rsidRPr="000D60F2">
        <w:rPr>
          <w:rFonts w:asciiTheme="minorHAnsi" w:hAnsiTheme="minorHAnsi"/>
          <w:b/>
          <w:bCs/>
        </w:rPr>
        <w:t>Minimalne kryteria ochrony ubezpieczeniowej</w:t>
      </w:r>
    </w:p>
    <w:p w:rsidR="0083203A" w:rsidRDefault="0083203A" w:rsidP="00A502A0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color w:val="000000"/>
          <w:sz w:val="24"/>
        </w:rPr>
      </w:pPr>
    </w:p>
    <w:p w:rsidR="004818F1" w:rsidRPr="000D60F2" w:rsidRDefault="004818F1" w:rsidP="004818F1">
      <w:pPr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/>
          <w:b/>
          <w:color w:val="000000"/>
          <w:sz w:val="24"/>
        </w:rPr>
      </w:pPr>
      <w:r w:rsidRPr="000D60F2">
        <w:rPr>
          <w:rFonts w:asciiTheme="minorHAnsi" w:hAnsiTheme="minorHAnsi"/>
          <w:b/>
          <w:color w:val="000000"/>
          <w:sz w:val="24"/>
        </w:rPr>
        <w:t xml:space="preserve">W przypadku ubezpieczeń na życie: </w:t>
      </w:r>
    </w:p>
    <w:p w:rsidR="004818F1" w:rsidRPr="000D60F2" w:rsidRDefault="004818F1" w:rsidP="004818F1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>polisa powinna zapewnić ochronę z tytułu śmierci:</w:t>
      </w:r>
    </w:p>
    <w:p w:rsidR="004818F1" w:rsidRPr="000D60F2" w:rsidRDefault="004818F1" w:rsidP="004818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000000"/>
          <w:sz w:val="24"/>
        </w:rPr>
      </w:pPr>
      <w:r w:rsidRPr="000D60F2">
        <w:rPr>
          <w:rFonts w:asciiTheme="minorHAnsi" w:hAnsiTheme="minorHAnsi"/>
          <w:color w:val="000000"/>
          <w:sz w:val="24"/>
        </w:rPr>
        <w:t>niespowodowanej nieszczęśliwym wypadkiem, co najmniej do 70 roku życia ubezpieczonego lub do końca okresu kredytowania w przypadkach, gdy suma okresu kredytowania i wieku kredytobiorcy jest mniejsza niż 70 lat,</w:t>
      </w:r>
    </w:p>
    <w:p w:rsidR="004818F1" w:rsidRPr="000D60F2" w:rsidRDefault="004818F1" w:rsidP="004818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color w:val="000000"/>
          <w:sz w:val="24"/>
        </w:rPr>
      </w:pPr>
      <w:r w:rsidRPr="000D60F2">
        <w:rPr>
          <w:rFonts w:asciiTheme="minorHAnsi" w:hAnsiTheme="minorHAnsi"/>
          <w:color w:val="000000"/>
          <w:sz w:val="24"/>
        </w:rPr>
        <w:t xml:space="preserve">spowodowanej nieszczęśliwym wypadkiem co najmniej do </w:t>
      </w:r>
      <w:r w:rsidR="00B60344">
        <w:rPr>
          <w:rFonts w:asciiTheme="minorHAnsi" w:hAnsiTheme="minorHAnsi"/>
          <w:color w:val="000000"/>
          <w:sz w:val="24"/>
        </w:rPr>
        <w:t>75</w:t>
      </w:r>
      <w:r w:rsidRPr="000D60F2">
        <w:rPr>
          <w:rFonts w:asciiTheme="minorHAnsi" w:hAnsiTheme="minorHAnsi"/>
          <w:color w:val="000000"/>
          <w:sz w:val="24"/>
        </w:rPr>
        <w:t xml:space="preserve"> roku życia ubezpieczonego lub do końca okresu kredytowania w przypadkach, gdy suma okresu kredytowania i wieku kredytobiorcy jest mniejsza niż </w:t>
      </w:r>
      <w:r w:rsidR="00B60344">
        <w:rPr>
          <w:rFonts w:asciiTheme="minorHAnsi" w:hAnsiTheme="minorHAnsi"/>
          <w:color w:val="000000"/>
          <w:sz w:val="24"/>
        </w:rPr>
        <w:t>75</w:t>
      </w:r>
      <w:r w:rsidRPr="000D60F2">
        <w:rPr>
          <w:rFonts w:asciiTheme="minorHAnsi" w:hAnsiTheme="minorHAnsi"/>
          <w:color w:val="000000"/>
          <w:sz w:val="24"/>
        </w:rPr>
        <w:t xml:space="preserve"> lat; </w:t>
      </w:r>
    </w:p>
    <w:p w:rsidR="004818F1" w:rsidRPr="000D60F2" w:rsidRDefault="004818F1" w:rsidP="004818F1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 xml:space="preserve">rozpoczęcie okresu ubezpieczenia powinno nastąpić z datą wypłaty kredytu </w:t>
      </w:r>
      <w:r w:rsidR="00741B99" w:rsidRPr="000D60F2">
        <w:rPr>
          <w:rFonts w:asciiTheme="minorHAnsi" w:hAnsiTheme="minorHAnsi"/>
        </w:rPr>
        <w:br/>
      </w:r>
      <w:r w:rsidRPr="000D60F2">
        <w:rPr>
          <w:rFonts w:asciiTheme="minorHAnsi" w:hAnsiTheme="minorHAnsi"/>
        </w:rPr>
        <w:t xml:space="preserve">a zakończenie z chwilą śmierci ubezpieczonego; </w:t>
      </w:r>
    </w:p>
    <w:p w:rsidR="004818F1" w:rsidRPr="000D60F2" w:rsidRDefault="004818F1" w:rsidP="004818F1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 xml:space="preserve">rozwiązanie umowy ubezpieczenia lub jej wygaśnięcie powinno nastąpić wraz ze spłatą pełnej kwoty kredytu przed upływem okresu na jaki została zawarta umowa; </w:t>
      </w:r>
    </w:p>
    <w:p w:rsidR="004818F1" w:rsidRPr="000D60F2" w:rsidRDefault="004818F1" w:rsidP="004818F1">
      <w:pPr>
        <w:pStyle w:val="Default"/>
        <w:numPr>
          <w:ilvl w:val="0"/>
          <w:numId w:val="3"/>
        </w:numPr>
        <w:jc w:val="both"/>
        <w:rPr>
          <w:rFonts w:asciiTheme="minorHAnsi" w:hAnsiTheme="minorHAnsi"/>
        </w:rPr>
      </w:pPr>
      <w:r w:rsidRPr="000D60F2">
        <w:rPr>
          <w:rFonts w:asciiTheme="minorHAnsi" w:hAnsiTheme="minorHAnsi"/>
        </w:rPr>
        <w:t>suma ubezpieczenia powinna obejmować co najmniej kapitał kredytu w wysokości kwoty pozostałej do spłaty w dniu zajścia zdarzenia ubezpieczeniowego.</w:t>
      </w:r>
    </w:p>
    <w:p w:rsidR="00E773F2" w:rsidRPr="000D60F2" w:rsidRDefault="00E773F2" w:rsidP="004818F1">
      <w:pPr>
        <w:jc w:val="both"/>
        <w:rPr>
          <w:rFonts w:asciiTheme="minorHAnsi" w:hAnsiTheme="minorHAnsi"/>
          <w:sz w:val="24"/>
        </w:rPr>
      </w:pPr>
    </w:p>
    <w:sectPr w:rsidR="00E773F2" w:rsidRPr="000D60F2" w:rsidSect="000D60F2">
      <w:headerReference w:type="default" r:id="rId7"/>
      <w:pgSz w:w="11906" w:h="16838"/>
      <w:pgMar w:top="29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496D" w:rsidRDefault="000C496D" w:rsidP="000D60F2">
      <w:r>
        <w:separator/>
      </w:r>
    </w:p>
  </w:endnote>
  <w:endnote w:type="continuationSeparator" w:id="0">
    <w:p w:rsidR="000C496D" w:rsidRDefault="000C496D" w:rsidP="000D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496D" w:rsidRDefault="000C496D" w:rsidP="000D60F2">
      <w:r>
        <w:separator/>
      </w:r>
    </w:p>
  </w:footnote>
  <w:footnote w:type="continuationSeparator" w:id="0">
    <w:p w:rsidR="000C496D" w:rsidRDefault="000C496D" w:rsidP="000D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254E" w:rsidRPr="00BC7A3B" w:rsidRDefault="00A3254E" w:rsidP="00A3254E">
    <w:pPr>
      <w:tabs>
        <w:tab w:val="center" w:pos="4536"/>
        <w:tab w:val="right" w:pos="9072"/>
      </w:tabs>
      <w:rPr>
        <w:i/>
        <w:iCs/>
        <w:color w:val="00B050"/>
        <w:spacing w:val="40"/>
        <w:sz w:val="16"/>
        <w:szCs w:val="16"/>
      </w:rPr>
    </w:pPr>
    <w:r w:rsidRPr="00BC7A3B">
      <w:rPr>
        <w:noProof/>
      </w:rPr>
      <w:drawing>
        <wp:inline distT="0" distB="0" distL="0" distR="0" wp14:anchorId="2FAAE1CD" wp14:editId="49A54DD0">
          <wp:extent cx="2146300" cy="4127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7A3B">
      <w:tab/>
    </w:r>
    <w:r w:rsidRPr="00BC7A3B">
      <w:tab/>
      <w:t xml:space="preserve">                       </w:t>
    </w:r>
    <w:r w:rsidRPr="00BC7A3B">
      <w:rPr>
        <w:i/>
        <w:iCs/>
        <w:color w:val="00B050"/>
        <w:spacing w:val="40"/>
        <w:sz w:val="16"/>
        <w:szCs w:val="16"/>
      </w:rPr>
      <w:t>Rok założenia ~1901~</w:t>
    </w:r>
  </w:p>
  <w:p w:rsidR="00A3254E" w:rsidRPr="00AC1BB0" w:rsidRDefault="00A3254E" w:rsidP="00A3254E">
    <w:pPr>
      <w:tabs>
        <w:tab w:val="center" w:pos="4536"/>
        <w:tab w:val="right" w:pos="9072"/>
      </w:tabs>
    </w:pPr>
    <w:r w:rsidRPr="00BC7A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A70452" wp14:editId="535D9CDF">
              <wp:simplePos x="0" y="0"/>
              <wp:positionH relativeFrom="column">
                <wp:posOffset>-70485</wp:posOffset>
              </wp:positionH>
              <wp:positionV relativeFrom="paragraph">
                <wp:posOffset>55245</wp:posOffset>
              </wp:positionV>
              <wp:extent cx="6292850" cy="0"/>
              <wp:effectExtent l="0" t="0" r="0" b="0"/>
              <wp:wrapNone/>
              <wp:docPr id="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2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BD4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.55pt;margin-top:4.35pt;width:49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" strokecolor="#00b050"/>
          </w:pict>
        </mc:Fallback>
      </mc:AlternateContent>
    </w:r>
  </w:p>
  <w:p w:rsidR="00A3254E" w:rsidRDefault="00A325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90041"/>
    <w:multiLevelType w:val="hybridMultilevel"/>
    <w:tmpl w:val="8CB225CA"/>
    <w:lvl w:ilvl="0" w:tplc="256E405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C7E1A"/>
    <w:multiLevelType w:val="hybridMultilevel"/>
    <w:tmpl w:val="096E41D2"/>
    <w:lvl w:ilvl="0" w:tplc="6D782E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C6040"/>
    <w:multiLevelType w:val="hybridMultilevel"/>
    <w:tmpl w:val="628C2DD8"/>
    <w:lvl w:ilvl="0" w:tplc="B77CC25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E13131"/>
    <w:multiLevelType w:val="hybridMultilevel"/>
    <w:tmpl w:val="096E41D2"/>
    <w:lvl w:ilvl="0" w:tplc="6D782E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A6853"/>
    <w:multiLevelType w:val="hybridMultilevel"/>
    <w:tmpl w:val="096E41D2"/>
    <w:lvl w:ilvl="0" w:tplc="6D782E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480629">
    <w:abstractNumId w:val="1"/>
  </w:num>
  <w:num w:numId="2" w16cid:durableId="757140627">
    <w:abstractNumId w:val="4"/>
  </w:num>
  <w:num w:numId="3" w16cid:durableId="1673795954">
    <w:abstractNumId w:val="0"/>
  </w:num>
  <w:num w:numId="4" w16cid:durableId="2085490352">
    <w:abstractNumId w:val="2"/>
  </w:num>
  <w:num w:numId="5" w16cid:durableId="48919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F1"/>
    <w:rsid w:val="000C496D"/>
    <w:rsid w:val="000D60F2"/>
    <w:rsid w:val="0024296B"/>
    <w:rsid w:val="002E3B2C"/>
    <w:rsid w:val="00310FD7"/>
    <w:rsid w:val="003D1D4B"/>
    <w:rsid w:val="003F3F2B"/>
    <w:rsid w:val="00413D60"/>
    <w:rsid w:val="004818F1"/>
    <w:rsid w:val="0050728A"/>
    <w:rsid w:val="00551E32"/>
    <w:rsid w:val="00602E3C"/>
    <w:rsid w:val="006314F9"/>
    <w:rsid w:val="006C7C71"/>
    <w:rsid w:val="00700BB9"/>
    <w:rsid w:val="00741B99"/>
    <w:rsid w:val="007D1C48"/>
    <w:rsid w:val="00807C0C"/>
    <w:rsid w:val="0083203A"/>
    <w:rsid w:val="008B216B"/>
    <w:rsid w:val="009072AC"/>
    <w:rsid w:val="00A3254E"/>
    <w:rsid w:val="00A502A0"/>
    <w:rsid w:val="00B5036A"/>
    <w:rsid w:val="00B60344"/>
    <w:rsid w:val="00C46090"/>
    <w:rsid w:val="00C776B3"/>
    <w:rsid w:val="00C95736"/>
    <w:rsid w:val="00CA6F09"/>
    <w:rsid w:val="00E41B76"/>
    <w:rsid w:val="00E773F2"/>
    <w:rsid w:val="00ED26AA"/>
    <w:rsid w:val="00FC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F5158"/>
  <w15:docId w15:val="{A119DA0D-81FE-44DB-ADFB-C7DADF59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8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1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8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8F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8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6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0F2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0F2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Chodak</dc:creator>
  <cp:lastModifiedBy>Monika Pazdan</cp:lastModifiedBy>
  <cp:revision>1</cp:revision>
  <dcterms:created xsi:type="dcterms:W3CDTF">2024-01-08T10:03:00Z</dcterms:created>
  <dcterms:modified xsi:type="dcterms:W3CDTF">2024-01-08T10:03:00Z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Do-uz-wewnetrznego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">
    <vt:lpwstr>2017-06-13T12:48:48.4548777+02:00</vt:lpwstr>
  </property>
  <property fmtid="{D5CDD505-2E9C-101B-9397-08002B2CF9AE}" pid="5" name="BPSClassifiedBySID">
    <vt:lpwstr>BANK\S-1-5-21-2235066060-4034229115-1914166231-42259</vt:lpwstr>
  </property>
  <property fmtid="{D5CDD505-2E9C-101B-9397-08002B2CF9AE}" pid="6" name="BPSGRNItemId">
    <vt:lpwstr>GRN-c7375296-abed-47f0-8716-bd109f0c616b</vt:lpwstr>
  </property>
  <property fmtid="{D5CDD505-2E9C-101B-9397-08002B2CF9AE}" pid="7" name="BPSHash">
    <vt:lpwstr>hjKhj5SLjCcNujtQDDIFwz8YpctXe1dUk4sbhu0Zm0Q=</vt:lpwstr>
  </property>
  <property fmtid="{D5CDD505-2E9C-101B-9397-08002B2CF9AE}" pid="8" name="BPSRefresh">
    <vt:lpwstr>False</vt:lpwstr>
  </property>
</Properties>
</file>